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hAnsi="Times New Roman"/>
          <w:rtl w:val="0"/>
          <w:lang w:val="en-US"/>
        </w:rPr>
        <w:t xml:space="preserve">MINUTES OF </w:t>
      </w:r>
      <w:r>
        <w:rPr>
          <w:rFonts w:ascii="Times New Roman" w:hAnsi="Times New Roman"/>
          <w:rtl w:val="0"/>
          <w:lang w:val="en-US"/>
        </w:rPr>
        <w:t>27</w:t>
      </w:r>
      <w:r>
        <w:rPr>
          <w:rFonts w:ascii="Times New Roman" w:hAnsi="Times New Roman"/>
          <w:rtl w:val="0"/>
        </w:rPr>
        <w:t xml:space="preserve"> </w:t>
      </w:r>
      <w:r>
        <w:rPr>
          <w:rFonts w:ascii="Times New Roman" w:hAnsi="Times New Roman"/>
          <w:rtl w:val="0"/>
          <w:lang w:val="en-US"/>
        </w:rPr>
        <w:t>MAY</w:t>
      </w:r>
      <w:r>
        <w:rPr>
          <w:rFonts w:ascii="Times New Roman" w:hAnsi="Times New Roman"/>
          <w:rtl w:val="0"/>
        </w:rPr>
        <w:t xml:space="preserve"> 2020</w:t>
      </w:r>
    </w:p>
    <w:p>
      <w:pPr>
        <w:pStyle w:val="Body"/>
        <w:rPr>
          <w:rFonts w:ascii="Times New Roman" w:cs="Times New Roman" w:hAnsi="Times New Roman" w:eastAsia="Times New Roman"/>
        </w:rPr>
      </w:pPr>
      <w:r>
        <w:rPr>
          <w:rFonts w:ascii="Times New Roman" w:hAnsi="Times New Roman"/>
          <w:rtl w:val="0"/>
          <w:lang w:val="en-US"/>
        </w:rPr>
        <w:t>**There are no recorded votes for this month because the acting Senator was filling in until the Senate by-election results were announced, and did not have voting rights.</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Times New Roman" w:hAnsi="Times New Roman"/>
                <w:u w:color="000000"/>
                <w:rtl w:val="0"/>
                <w:lang w:val="en-US"/>
              </w:rPr>
              <w:t>COMMITTEE THAT RECOMMENDED THE MOTION/SUBSECTION OF DOCKET WHERE MOTION CAN BE FOUND</w:t>
            </w:r>
          </w:p>
        </w:tc>
      </w:tr>
      <w:tr>
        <w:tblPrEx>
          <w:shd w:val="clear" w:color="auto" w:fill="auto"/>
        </w:tblPrEx>
        <w:trPr>
          <w:trHeight w:val="6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the minutes of 8 April 2020 and 15 April 2020 be adopted as presented.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Minutes of the Meetings of 8 and 15 April 2020 </w:t>
            </w:r>
            <w:r>
              <w:rPr>
                <w:rFonts w:ascii="Times New Roman" w:hAnsi="Times New Roman" w:hint="default"/>
                <w:rtl w:val="0"/>
              </w:rPr>
              <w:t xml:space="preserve">– </w:t>
            </w:r>
            <w:r>
              <w:rPr>
                <w:rFonts w:ascii="Times New Roman" w:hAnsi="Times New Roman"/>
                <w:rtl w:val="0"/>
              </w:rPr>
              <w:t>Dr Santa Ono</w:t>
            </w:r>
          </w:p>
        </w:tc>
      </w:tr>
      <w:tr>
        <w:tblPrEx>
          <w:shd w:val="clear" w:color="auto" w:fill="auto"/>
        </w:tblPrEx>
        <w:trPr>
          <w:trHeight w:val="32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the candidates for degrees and diplomas, as recommended by the faculties, be granted the degrees for which they were recommended, effective May 2020, and that a committee comprised of the Registrar, the dean of the relevant faculty, and the Chair of Senate be empowered to make any necessary adjustments(approval) (2/3 majority required).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The Chair of Senate</w:t>
            </w:r>
          </w:p>
        </w:tc>
      </w:tr>
      <w:tr>
        <w:tblPrEx>
          <w:shd w:val="clear" w:color="auto" w:fill="auto"/>
        </w:tblPrEx>
        <w:trPr>
          <w:trHeight w:val="10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Senate approve revisions to Policy V-125 </w:t>
            </w:r>
            <w:r>
              <w:rPr>
                <w:rFonts w:ascii="Times New Roman" w:hAnsi="Times New Roman" w:hint="default"/>
                <w:i w:val="1"/>
                <w:iCs w:val="1"/>
                <w:rtl w:val="0"/>
              </w:rPr>
              <w:t xml:space="preserve">–  </w:t>
            </w:r>
            <w:r>
              <w:rPr>
                <w:rFonts w:ascii="Times New Roman" w:hAnsi="Times New Roman"/>
                <w:i w:val="1"/>
                <w:iCs w:val="1"/>
                <w:rtl w:val="0"/>
              </w:rPr>
              <w:t>Term and Formal Examination Scheduling as set out in the attached.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 Academic Policy Committee </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approve amendments to the affiliation between The University of British Columbia and St. Mark</w:t>
            </w:r>
            <w:r>
              <w:rPr>
                <w:rFonts w:ascii="Times New Roman" w:hAnsi="Times New Roman" w:hint="default"/>
                <w:i w:val="1"/>
                <w:iCs w:val="1"/>
                <w:rtl w:val="0"/>
              </w:rPr>
              <w:t>’</w:t>
            </w:r>
            <w:r>
              <w:rPr>
                <w:rFonts w:ascii="Times New Roman" w:hAnsi="Times New Roman"/>
                <w:i w:val="1"/>
                <w:iCs w:val="1"/>
                <w:rtl w:val="0"/>
              </w:rPr>
              <w:t>s College as set out in the attached.</w:t>
            </w:r>
            <w:r>
              <w:rPr>
                <w:rFonts w:ascii="Times New Roman" w:hAnsi="Times New Roman" w:hint="default"/>
                <w:i w:val="1"/>
                <w:iCs w:val="1"/>
                <w:rtl w:val="0"/>
              </w:rPr>
              <w: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Academic Policy Committee</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To approve changes to admission requirements to the Doctor of Philosophy, Experimental program in the Department of Medicine, effective Summer 2020.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Admissions Committee </w:t>
            </w:r>
          </w:p>
        </w:tc>
      </w:tr>
      <w:tr>
        <w:tblPrEx>
          <w:shd w:val="clear" w:color="auto" w:fill="auto"/>
        </w:tblPrEx>
        <w:trPr>
          <w:trHeight w:val="24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 xml:space="preserve">To approve and recommend the approval of changes to admission requirements to the Doctor of Philosophy, Medical Genetics and Master of Science, Medical Genetics programs in the Department of Medical Genetics effective Winter 2020-2021.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Admissions Committee </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To approve changes to English language proficiency standards and Graduate Record Examination Requirements for admission to the Faculty of Graduate and Postdoctoral Studies.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Admissions Committee </w:t>
            </w:r>
          </w:p>
        </w:tc>
      </w:tr>
      <w:tr>
        <w:tblPrEx>
          <w:shd w:val="clear" w:color="auto" w:fill="auto"/>
        </w:tblPrEx>
        <w:trPr>
          <w:trHeight w:val="59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To approve changes in admission requirements for applicants to the following programs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A CHEMICAL AND BIOLOGICAL ENGINEERING [Effective Winter 2020]</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B1 MASTERS OF ENGINEERING LEADERSHIP [Effective Summer 2020]</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B2 MASTERS OF HEALTH LEADERSHIP &amp; POLICY [Effective Summer 2020]</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C Masters of Engineering Leadership Excerpts (page 34)</w:t>
            </w:r>
          </w:p>
          <w:p>
            <w:pPr>
              <w:pStyle w:val="Table Style 2"/>
              <w:rPr>
                <w:rFonts w:ascii="Times New Roman" w:cs="Times New Roman" w:hAnsi="Times New Roman" w:eastAsia="Times New Roman"/>
                <w:i w:val="1"/>
                <w:iCs w:val="1"/>
              </w:rPr>
            </w:pPr>
          </w:p>
          <w:p>
            <w:pPr>
              <w:pStyle w:val="Table Style 2"/>
            </w:pPr>
            <w:r>
              <w:rPr>
                <w:rFonts w:ascii="Times New Roman" w:hAnsi="Times New Roman"/>
                <w:rtl w:val="0"/>
                <w:lang w:val="en-US"/>
              </w:rPr>
              <w:t>[See docket page 72 for more detailed information on programs]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Admissions Committee </w:t>
            </w:r>
          </w:p>
        </w:tc>
      </w:tr>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accept the awards as listed and forward them to the Board of Governors for approval, and that letters of thanks be sent to the donors.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Awards Committee </w:t>
            </w:r>
          </w:p>
        </w:tc>
      </w:tr>
      <w:tr>
        <w:tblPrEx>
          <w:shd w:val="clear" w:color="auto" w:fill="auto"/>
        </w:tblPrEx>
        <w:trPr>
          <w:trHeight w:val="50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rPr>
            </w:pPr>
            <w:r>
              <w:rPr>
                <w:rFonts w:ascii="Times New Roman" w:hAnsi="Times New Roman"/>
                <w:rtl w:val="0"/>
                <w:lang w:val="en-US"/>
              </w:rPr>
              <w:t xml:space="preserve">That the Okanagan and Vancouver Senates approve the following transcript notation for inclusion on the transcripts of all students who were registered in the 2019 Winter Session: </w:t>
            </w:r>
          </w:p>
          <w:p>
            <w:pPr>
              <w:pStyle w:val="Table Style 2"/>
              <w:rPr>
                <w:rFonts w:ascii="Times New Roman" w:cs="Times New Roman" w:hAnsi="Times New Roman" w:eastAsia="Times New Roman"/>
              </w:rPr>
            </w:pPr>
          </w:p>
          <w:p>
            <w:pPr>
              <w:pStyle w:val="Table Style 2"/>
            </w:pPr>
            <w:r>
              <w:rPr>
                <w:rFonts w:ascii="Times New Roman" w:hAnsi="Times New Roman" w:hint="default"/>
                <w:i w:val="1"/>
                <w:iCs w:val="1"/>
                <w:rtl w:val="0"/>
                <w:lang w:val="de-DE"/>
              </w:rPr>
              <w:t>“</w:t>
            </w:r>
            <w:r>
              <w:rPr>
                <w:rFonts w:ascii="Times New Roman" w:hAnsi="Times New Roman"/>
                <w:i w:val="1"/>
                <w:iCs w:val="1"/>
                <w:rtl w:val="0"/>
                <w:lang w:val="en-US"/>
              </w:rPr>
              <w:t>As of 16 March 2020, the University of British Columbia modified its instructional and assessment modes in response to the disruption caused by the COVID-19 pandemic. Some students completed courses in the 2019 Winter Session that are normally graded on a percentage basis for either Pass/Fail or Credit/D/Fail Standing.</w:t>
            </w:r>
            <w:r>
              <w:rPr>
                <w:rFonts w:ascii="Times New Roman" w:hAnsi="Times New Roman" w:hint="default"/>
                <w:i w:val="1"/>
                <w:iCs w:val="1"/>
                <w:rtl w:val="0"/>
              </w:rPr>
              <w:t>”</w:t>
            </w:r>
            <w:r>
              <w:rPr>
                <w:rFonts w:ascii="Times New Roman" w:hAnsi="Times New Roman"/>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 new motion was introduced:</w:t>
            </w:r>
          </w:p>
          <w:p>
            <w:pPr>
              <w:pStyle w:val="Table Style 2"/>
            </w:pPr>
          </w:p>
          <w:p>
            <w:pPr>
              <w:pStyle w:val="Table Style 2"/>
            </w:pPr>
            <w:r>
              <w:rPr>
                <w:rFonts w:ascii="Times New Roman" w:hAnsi="Times New Roman"/>
                <w:rtl w:val="0"/>
              </w:rPr>
              <w:t>that the proposed transcript notation be referred back to the curriculum committee for further consideration</w:t>
            </w:r>
          </w:p>
          <w:p>
            <w:pPr>
              <w:pStyle w:val="Table Style 2"/>
            </w:pPr>
            <w:r>
              <w:rPr>
                <w:rFonts w:ascii="Times New Roman" w:hAnsi="Times New Roman"/>
                <w:rtl w:val="0"/>
              </w:rPr>
              <w:t>and report back at the next Senate meeting</w:t>
            </w:r>
          </w:p>
          <w:p>
            <w:pPr>
              <w:pStyle w:val="Table Style 2"/>
            </w:pPr>
          </w:p>
          <w:p>
            <w:pPr>
              <w:pStyle w:val="Table Style 2"/>
            </w:pPr>
            <w:r>
              <w:rPr>
                <w:rFonts w:ascii="Times New Roman" w:hAnsi="Times New Roman"/>
                <w:rtl w:val="0"/>
              </w:rPr>
              <w:t>New motion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Okanagan and Vancouver Senate Curriculum Committees </w:t>
            </w:r>
          </w:p>
        </w:tc>
      </w:tr>
      <w:tr>
        <w:tblPrEx>
          <w:shd w:val="clear" w:color="auto" w:fill="auto"/>
        </w:tblPrEx>
        <w:trPr>
          <w:trHeight w:val="21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new courses and revised programs be brought forward by the faculties of Applied Science, Arts, and Graduate and Postdoctoral Studies (Applied Science, Arts, Forestry, Medicine, and Science)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Curriculum Committee</w:t>
            </w:r>
          </w:p>
        </w:tc>
      </w:tr>
      <w:tr>
        <w:tblPrEx>
          <w:shd w:val="clear" w:color="auto" w:fill="auto"/>
        </w:tblPrEx>
        <w:trPr>
          <w:trHeight w:val="8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Committee adjustments; see docket pages 171-173 for details</w:t>
            </w:r>
          </w:p>
          <w:p>
            <w:pPr>
              <w:pStyle w:val="Table Style 2"/>
            </w:p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37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endorse the recommendations of the Student Evaluations of Teaching Working Group as recommended by the Senate Teaching &amp; Learning Committee (Vancouver) and the Senate Learning &amp; Research Committee (Okanagan) and direct the committees to prepare appropriate follow-up on implementation plans and revisions to Senate policy for consideration by the Senates.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Teaching and Learning Committee</w:t>
            </w:r>
          </w:p>
        </w:tc>
      </w:tr>
      <w:tr>
        <w:tblPrEx>
          <w:shd w:val="clear" w:color="auto" w:fill="auto"/>
        </w:tblPrEx>
        <w:trPr>
          <w:trHeight w:val="30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the attached list of individuals for emeritus status be approved; and That pursuant to section 9(2) of the University Act, all persons with the ranks of, Professor Emeritus, Associate Professor Emeritus, Assistant Professor Emeritus, Senior Instructor Emeritus, and Professor of Teaching Emeritus be added to the Roll of Convocation.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Tributes Committee </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the new dual degree (Bachelor of Commerce and Bachelor of Business Administration) program option with the University of Hong Kong be 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Faculty of Commerce and Business Administration</w:t>
            </w:r>
          </w:p>
        </w:tc>
      </w:tr>
      <w:tr>
        <w:tblPrEx>
          <w:shd w:val="clear" w:color="auto" w:fill="auto"/>
        </w:tblPrEx>
        <w:trPr>
          <w:trHeight w:val="12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lang w:val="en-US"/>
              </w:rPr>
              <w:t>Motion 1</w:t>
            </w:r>
          </w:p>
          <w:p>
            <w:pPr>
              <w:pStyle w:val="Table Style 2"/>
            </w:pPr>
            <w:r>
              <w:rPr>
                <w:rFonts w:ascii="Times New Roman" w:hAnsi="Times New Roman"/>
                <w:i w:val="1"/>
                <w:iCs w:val="1"/>
                <w:rtl w:val="0"/>
                <w:lang w:val="en-US"/>
              </w:rPr>
              <w:t>Be it resolved that this Senate:</w:t>
            </w:r>
          </w:p>
          <w:p>
            <w:pPr>
              <w:pStyle w:val="Table Style 2"/>
              <w:numPr>
                <w:ilvl w:val="0"/>
                <w:numId w:val="1"/>
              </w:numPr>
              <w:rPr>
                <w:rFonts w:ascii="Times New Roman" w:hAnsi="Times New Roman"/>
                <w:i w:val="1"/>
                <w:iCs w:val="1"/>
                <w:lang w:val="en-US"/>
              </w:rPr>
            </w:pPr>
            <w:r>
              <w:rPr>
                <w:rFonts w:ascii="Times New Roman" w:hAnsi="Times New Roman"/>
                <w:i w:val="1"/>
                <w:iCs w:val="1"/>
                <w:rtl w:val="0"/>
                <w:lang w:val="en-US"/>
              </w:rPr>
              <w:t>thanks faculty and staff for their considerable efforts made to continue instruction in a remote-learning environment,</w:t>
            </w:r>
          </w:p>
          <w:p>
            <w:pPr>
              <w:pStyle w:val="Table Style 2"/>
              <w:numPr>
                <w:ilvl w:val="0"/>
                <w:numId w:val="1"/>
              </w:numPr>
              <w:rPr>
                <w:rFonts w:ascii="Times New Roman" w:hAnsi="Times New Roman"/>
                <w:i w:val="1"/>
                <w:iCs w:val="1"/>
                <w:lang w:val="en-US"/>
              </w:rPr>
            </w:pPr>
            <w:r>
              <w:rPr>
                <w:rFonts w:ascii="Times New Roman" w:hAnsi="Times New Roman"/>
                <w:i w:val="1"/>
                <w:iCs w:val="1"/>
                <w:rtl w:val="0"/>
                <w:lang w:val="en-US"/>
              </w:rPr>
              <w:t>thanks students for continuing to study under new and challenging conditions,</w:t>
            </w:r>
          </w:p>
          <w:p>
            <w:pPr>
              <w:pStyle w:val="Table Style 2"/>
              <w:numPr>
                <w:ilvl w:val="0"/>
                <w:numId w:val="1"/>
              </w:numPr>
              <w:rPr>
                <w:rFonts w:ascii="Times New Roman" w:hAnsi="Times New Roman"/>
                <w:i w:val="1"/>
                <w:iCs w:val="1"/>
                <w:lang w:val="en-US"/>
              </w:rPr>
            </w:pPr>
            <w:r>
              <w:rPr>
                <w:rFonts w:ascii="Times New Roman" w:hAnsi="Times New Roman"/>
                <w:i w:val="1"/>
                <w:iCs w:val="1"/>
                <w:rtl w:val="0"/>
                <w:lang w:val="en-US"/>
              </w:rPr>
              <w:t>requests that all online courses to be offered in summer term 2 and winter session term 1 be designed to be easily accessible to students regardless of their location,</w:t>
            </w:r>
          </w:p>
          <w:p>
            <w:pPr>
              <w:pStyle w:val="Table Style 2"/>
              <w:numPr>
                <w:ilvl w:val="0"/>
                <w:numId w:val="1"/>
              </w:numPr>
              <w:rPr>
                <w:rFonts w:ascii="Times New Roman" w:hAnsi="Times New Roman"/>
                <w:i w:val="1"/>
                <w:iCs w:val="1"/>
                <w:lang w:val="en-US"/>
              </w:rPr>
            </w:pPr>
            <w:r>
              <w:rPr>
                <w:rFonts w:ascii="Times New Roman" w:hAnsi="Times New Roman"/>
                <w:i w:val="1"/>
                <w:iCs w:val="1"/>
                <w:rtl w:val="0"/>
                <w:lang w:val="en-US"/>
              </w:rPr>
              <w:t>encourages Enrolment Services and the academic units to continue to be flexible in terms of course drop and withdrawal dates beyond summer term 1,</w:t>
            </w:r>
          </w:p>
          <w:p>
            <w:pPr>
              <w:pStyle w:val="Table Style 2"/>
              <w:numPr>
                <w:ilvl w:val="0"/>
                <w:numId w:val="1"/>
              </w:numPr>
              <w:rPr>
                <w:rFonts w:ascii="Times New Roman" w:hAnsi="Times New Roman"/>
                <w:i w:val="1"/>
                <w:iCs w:val="1"/>
                <w:lang w:val="en-US"/>
              </w:rPr>
            </w:pPr>
            <w:r>
              <w:rPr>
                <w:rFonts w:ascii="Times New Roman" w:hAnsi="Times New Roman"/>
                <w:i w:val="1"/>
                <w:iCs w:val="1"/>
                <w:rtl w:val="0"/>
                <w:lang w:val="en-US"/>
              </w:rPr>
              <w:t>requests that all academic unit heads communicate to their students and faculty that the Academic Concession policy is to be applied according to its fundamental values so as to support students in a flexible and compassionate manner, especially in consideration of attendance and participation requirements, while respecting the academic integrity of the course and program,</w:t>
            </w:r>
          </w:p>
          <w:p>
            <w:pPr>
              <w:pStyle w:val="Table Style 2"/>
              <w:numPr>
                <w:ilvl w:val="0"/>
                <w:numId w:val="1"/>
              </w:numPr>
              <w:rPr>
                <w:rFonts w:ascii="Times New Roman" w:hAnsi="Times New Roman"/>
                <w:i w:val="1"/>
                <w:iCs w:val="1"/>
                <w:lang w:val="en-US"/>
              </w:rPr>
            </w:pPr>
            <w:r>
              <w:rPr>
                <w:rFonts w:ascii="Times New Roman" w:hAnsi="Times New Roman"/>
                <w:i w:val="1"/>
                <w:iCs w:val="1"/>
                <w:rtl w:val="0"/>
                <w:lang w:val="en-US"/>
              </w:rPr>
              <w:t>requests the meaningful inclusion of students and faculty in planning for the upcoming summer term [con</w:t>
            </w:r>
            <w:r>
              <w:rPr>
                <w:rFonts w:ascii="Times New Roman" w:hAnsi="Times New Roman" w:hint="default"/>
                <w:i w:val="1"/>
                <w:iCs w:val="1"/>
                <w:rtl w:val="0"/>
                <w:lang w:val="en-US"/>
              </w:rPr>
              <w:t>’</w:t>
            </w:r>
            <w:r>
              <w:rPr>
                <w:rFonts w:ascii="Times New Roman" w:hAnsi="Times New Roman"/>
                <w:i w:val="1"/>
                <w:iCs w:val="1"/>
                <w:rtl w:val="0"/>
                <w:lang w:val="en-US"/>
              </w:rPr>
              <w:t xml:space="preserve">d below]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Senator at Large Max Holmes</w:t>
            </w:r>
          </w:p>
          <w:p>
            <w:pPr>
              <w:pStyle w:val="Table Style 2"/>
            </w:pPr>
          </w:p>
          <w:p>
            <w:pPr>
              <w:pStyle w:val="Table Style 2"/>
            </w:pPr>
            <w:r>
              <w:rPr>
                <w:rFonts w:ascii="Times New Roman" w:hAnsi="Times New Roman"/>
                <w:rtl w:val="0"/>
              </w:rPr>
              <w:t>*Motions cannot be found in the minutes of the May 27 2020 meeting of the Senate as it was brought forward as Other Business.</w:t>
            </w:r>
          </w:p>
        </w:tc>
      </w:tr>
      <w:tr>
        <w:tblPrEx>
          <w:shd w:val="clear" w:color="auto" w:fill="auto"/>
        </w:tblPrEx>
        <w:trPr>
          <w:trHeight w:val="59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and winter session,        </w:t>
            </w:r>
          </w:p>
          <w:p>
            <w:pPr>
              <w:pStyle w:val="Table Style 2"/>
              <w:rPr>
                <w:rFonts w:ascii="Times New Roman" w:cs="Times New Roman" w:hAnsi="Times New Roman" w:eastAsia="Times New Roman"/>
                <w:i w:val="1"/>
                <w:iCs w:val="1"/>
              </w:rPr>
            </w:pPr>
            <w:r>
              <w:rPr>
                <w:rFonts w:ascii="Times New Roman" w:hAnsi="Times New Roman"/>
                <w:rtl w:val="0"/>
                <w:lang w:val="de-DE"/>
              </w:rPr>
              <w:t xml:space="preserve">     </w:t>
            </w:r>
            <w:r>
              <w:rPr>
                <w:rFonts w:ascii="Times New Roman" w:hAnsi="Times New Roman"/>
                <w:i w:val="1"/>
                <w:iCs w:val="1"/>
                <w:rtl w:val="0"/>
                <w:lang w:val="en-US"/>
              </w:rPr>
              <w:t xml:space="preserve">through means such as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the inclusion of student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and faculty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representation on all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committee and working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groups.</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7.  directs the Senate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Teaching &amp; Learning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Committee to report to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Senate on the results of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resolutions 3 through 6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before the end of the </w:t>
            </w: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    first term of winter </w:t>
            </w:r>
          </w:p>
          <w:p>
            <w:pPr>
              <w:pStyle w:val="Table Style 2"/>
              <w:rPr>
                <w:rFonts w:ascii="Times New Roman" w:cs="Times New Roman" w:hAnsi="Times New Roman" w:eastAsia="Times New Roman"/>
              </w:rPr>
            </w:pPr>
            <w:r>
              <w:rPr>
                <w:rFonts w:ascii="Times New Roman" w:hAnsi="Times New Roman"/>
                <w:i w:val="1"/>
                <w:iCs w:val="1"/>
                <w:rtl w:val="0"/>
                <w:lang w:val="it-IT"/>
              </w:rPr>
              <w:t xml:space="preserve">    session 2020/21.</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fr-FR"/>
              </w:rPr>
              <w:t>Motion 2</w:t>
            </w:r>
          </w:p>
          <w:p>
            <w:pPr>
              <w:pStyle w:val="Table Style 2"/>
            </w:pPr>
            <w:r>
              <w:rPr>
                <w:rFonts w:ascii="Times New Roman" w:hAnsi="Times New Roman"/>
                <w:i w:val="1"/>
                <w:iCs w:val="1"/>
                <w:rtl w:val="0"/>
                <w:lang w:val="en-US"/>
              </w:rPr>
              <w:t>Be it further resolved that the Provost be requested to consult with the Senate Teaching &amp; Learning Committee on guidelines that may be issued from time to time for best practices for course design and delivery during this pandemic situation.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1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the policy on deferred admissions be amended for the 2020 Winter Session (only) to allow faculties to set limits on the number of deferrals allowed per program and to change the date by which deferrals must be requested to 26 June 2020 from 15 August 2020, with the understanding that deferrals may be granted if requested after that date or beyond those limits for reasons that, in the opinion of the faculty, constitute extraordinary circumstances.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An amendment was put forward to replace </w:t>
            </w:r>
            <w:r>
              <w:rPr>
                <w:rFonts w:ascii="Times New Roman" w:hAnsi="Times New Roman" w:hint="default"/>
                <w:rtl w:val="0"/>
              </w:rPr>
              <w:t>“</w:t>
            </w:r>
            <w:r>
              <w:rPr>
                <w:rFonts w:ascii="Times New Roman" w:hAnsi="Times New Roman"/>
                <w:rtl w:val="0"/>
              </w:rPr>
              <w:t>26 June 2020</w:t>
            </w:r>
            <w:r>
              <w:rPr>
                <w:rFonts w:ascii="Times New Roman" w:hAnsi="Times New Roman" w:hint="default"/>
                <w:rtl w:val="0"/>
              </w:rPr>
              <w:t xml:space="preserve">” </w:t>
            </w:r>
            <w:r>
              <w:rPr>
                <w:rFonts w:ascii="Times New Roman" w:hAnsi="Times New Roman"/>
                <w:rtl w:val="0"/>
              </w:rPr>
              <w:t xml:space="preserve">with </w:t>
            </w:r>
            <w:r>
              <w:rPr>
                <w:rFonts w:ascii="Times New Roman" w:hAnsi="Times New Roman" w:hint="default"/>
                <w:rtl w:val="0"/>
              </w:rPr>
              <w:t>“</w:t>
            </w:r>
            <w:r>
              <w:rPr>
                <w:rFonts w:ascii="Times New Roman" w:hAnsi="Times New Roman"/>
                <w:rtl w:val="0"/>
              </w:rPr>
              <w:t>31 July 2020.</w:t>
            </w:r>
            <w:r>
              <w:rPr>
                <w:rFonts w:ascii="Times New Roman" w:hAnsi="Times New Roman" w:hint="default"/>
                <w:rtl w:val="0"/>
              </w:rPr>
              <w:t xml:space="preserve">” </w:t>
            </w:r>
          </w:p>
          <w:p>
            <w:pPr>
              <w:pStyle w:val="Table Style 2"/>
            </w:pPr>
          </w:p>
          <w:p>
            <w:pPr>
              <w:pStyle w:val="Table Style 2"/>
            </w:pPr>
            <w:r>
              <w:rPr>
                <w:rFonts w:ascii="Times New Roman" w:hAnsi="Times New Roman"/>
                <w:rtl w:val="0"/>
              </w:rPr>
              <w:t xml:space="preserve">This amendment failed, so a second amendment was put forward to replace </w:t>
            </w:r>
            <w:r>
              <w:rPr>
                <w:rFonts w:ascii="Times New Roman" w:hAnsi="Times New Roman" w:hint="default"/>
                <w:rtl w:val="0"/>
              </w:rPr>
              <w:t>“</w:t>
            </w:r>
            <w:r>
              <w:rPr>
                <w:rFonts w:ascii="Times New Roman" w:hAnsi="Times New Roman"/>
                <w:rtl w:val="0"/>
              </w:rPr>
              <w:t>26 June 2020</w:t>
            </w:r>
            <w:r>
              <w:rPr>
                <w:rFonts w:ascii="Times New Roman" w:hAnsi="Times New Roman" w:hint="default"/>
                <w:rtl w:val="0"/>
              </w:rPr>
              <w:t xml:space="preserve">” </w:t>
            </w:r>
            <w:r>
              <w:rPr>
                <w:rFonts w:ascii="Times New Roman" w:hAnsi="Times New Roman"/>
                <w:rtl w:val="0"/>
              </w:rPr>
              <w:t xml:space="preserve">with </w:t>
            </w:r>
            <w:r>
              <w:rPr>
                <w:rFonts w:ascii="Times New Roman" w:hAnsi="Times New Roman" w:hint="default"/>
                <w:rtl w:val="0"/>
              </w:rPr>
              <w:t>“</w:t>
            </w:r>
            <w:r>
              <w:rPr>
                <w:rFonts w:ascii="Times New Roman" w:hAnsi="Times New Roman"/>
                <w:rtl w:val="0"/>
              </w:rPr>
              <w:t>15 July 2020.</w:t>
            </w:r>
            <w:r>
              <w:rPr>
                <w:rFonts w:ascii="Times New Roman" w:hAnsi="Times New Roman" w:hint="default"/>
                <w:rtl w:val="0"/>
              </w:rPr>
              <w:t xml:space="preserve">” </w:t>
            </w:r>
          </w:p>
          <w:p>
            <w:pPr>
              <w:pStyle w:val="Table Style 2"/>
            </w:pPr>
          </w:p>
          <w:p>
            <w:pPr>
              <w:pStyle w:val="Table Style 2"/>
            </w:pPr>
            <w:r>
              <w:rPr>
                <w:rFonts w:ascii="Times New Roman" w:hAnsi="Times New Roman"/>
                <w:rtl w:val="0"/>
              </w:rPr>
              <w:t xml:space="preserve">The motion was approved as amended (the second amendment). </w:t>
            </w:r>
          </w:p>
          <w:p>
            <w:pPr>
              <w:pStyle w:val="Table Style 2"/>
            </w:p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Admissions Committee </w:t>
            </w:r>
          </w:p>
          <w:p>
            <w:pPr>
              <w:pStyle w:val="Table Style 2"/>
            </w:pPr>
          </w:p>
          <w:p>
            <w:pPr>
              <w:pStyle w:val="Table Style 2"/>
            </w:pPr>
            <w:r>
              <w:rPr>
                <w:rFonts w:ascii="Times New Roman" w:hAnsi="Times New Roman"/>
                <w:rtl w:val="0"/>
              </w:rPr>
              <w:t>*Motion cannot be found in the minutes of the May 27 2020 meeting of the Senate as it was brought forward as Other Business.</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Table Style 2"/>
        <w:rPr>
          <w:rFonts w:ascii="Times New Roman" w:cs="Times New Roman" w:hAnsi="Times New Roman" w:eastAsia="Times New Roman"/>
        </w:rPr>
      </w:pPr>
    </w:p>
    <w:p>
      <w:pPr>
        <w:pStyle w:val="Table Style 2"/>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