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Times New Roman" w:cs="Times New Roman" w:hAnsi="Times New Roman" w:eastAsia="Times New Roman"/>
        </w:rPr>
      </w:pPr>
      <w:r>
        <w:rPr>
          <w:rFonts w:ascii="Times New Roman" w:hAnsi="Times New Roman"/>
          <w:rtl w:val="0"/>
          <w:lang w:val="en-US"/>
        </w:rPr>
        <w:t>MINUTES OF 15 APRIL 2020</w:t>
      </w:r>
    </w:p>
    <w:p>
      <w:pPr>
        <w:pStyle w:val="Body"/>
        <w:rPr>
          <w:rFonts w:ascii="Times New Roman" w:cs="Times New Roman" w:hAnsi="Times New Roman" w:eastAsia="Times New Roman"/>
        </w:rPr>
      </w:pPr>
      <w:r>
        <w:rPr>
          <w:rFonts w:ascii="Times New Roman" w:hAnsi="Times New Roman"/>
          <w:rtl w:val="0"/>
          <w:lang w:val="en-US"/>
        </w:rPr>
        <w:t>**There are no recorded votes for this month because the acting Senator was filling in until the Senate by-election results were announced, and did not have voting rights.</w:t>
      </w:r>
    </w:p>
    <w:tbl>
      <w:tblPr>
        <w:tblW w:w="935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338"/>
        <w:gridCol w:w="2339"/>
        <w:gridCol w:w="2339"/>
        <w:gridCol w:w="2339"/>
      </w:tblGrid>
      <w:tr>
        <w:tblPrEx>
          <w:shd w:val="clear" w:color="auto" w:fill="auto"/>
        </w:tblPrEx>
        <w:trPr>
          <w:trHeight w:val="1317"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MOTION</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VOTE</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STATUS</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left"/>
              <w:rPr>
                <w:rtl w:val="0"/>
              </w:rPr>
            </w:pPr>
            <w:r>
              <w:rPr>
                <w:rFonts w:ascii="Times New Roman" w:hAnsi="Times New Roman"/>
                <w:u w:color="000000"/>
                <w:rtl w:val="0"/>
                <w:lang w:val="en-US"/>
              </w:rPr>
              <w:t>COMMITTEE THAT RECOMMENDED THE MOTION/SUBSECTION OF DOCKET WHERE MOTION CAN BE FOUND</w:t>
            </w:r>
          </w:p>
        </w:tc>
      </w:tr>
      <w:tr>
        <w:tblPrEx>
          <w:shd w:val="clear" w:color="auto" w:fill="auto"/>
        </w:tblPrEx>
        <w:trPr>
          <w:trHeight w:val="877"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i w:val="1"/>
                <w:iCs w:val="1"/>
                <w:rtl w:val="0"/>
              </w:rPr>
              <w:t xml:space="preserve">That the minutes of 12 February 2020 and 18 March 2020 be adopted as presented. </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N/A</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Approved</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Minutes of the Previous Meetings</w:t>
            </w:r>
          </w:p>
        </w:tc>
      </w:tr>
      <w:tr>
        <w:tblPrEx>
          <w:shd w:val="clear" w:color="auto" w:fill="auto"/>
        </w:tblPrEx>
        <w:trPr>
          <w:trHeight w:val="1537"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i w:val="1"/>
                <w:iCs w:val="1"/>
                <w:rtl w:val="0"/>
              </w:rPr>
              <w:t>That Senate approve the Memorial Minute for Dr.Robert Horne Lee, CM, OBC, that it be entered into the Minutes of Senate, and that copies be sent to the family of the deceased.</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N/A</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Approved</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Tributes Committee</w:t>
            </w:r>
          </w:p>
        </w:tc>
      </w:tr>
      <w:tr>
        <w:tblPrEx>
          <w:shd w:val="clear" w:color="auto" w:fill="auto"/>
        </w:tblPrEx>
        <w:trPr>
          <w:trHeight w:val="2197"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i w:val="1"/>
                <w:iCs w:val="1"/>
                <w:rtl w:val="0"/>
              </w:rPr>
              <w:t xml:space="preserve">That the Okanagan and Vancouver Senates approve Policy J-136 </w:t>
            </w:r>
            <w:r>
              <w:rPr>
                <w:rFonts w:ascii="Times New Roman" w:hAnsi="Times New Roman" w:hint="default"/>
                <w:i w:val="1"/>
                <w:iCs w:val="1"/>
                <w:rtl w:val="0"/>
              </w:rPr>
              <w:t xml:space="preserve">– </w:t>
            </w:r>
            <w:r>
              <w:rPr>
                <w:rFonts w:ascii="Times New Roman" w:hAnsi="Times New Roman"/>
                <w:i w:val="1"/>
                <w:iCs w:val="1"/>
                <w:rtl w:val="0"/>
              </w:rPr>
              <w:t>Academic Accommodation for all Students</w:t>
            </w:r>
            <w:r>
              <w:rPr>
                <w:rFonts w:ascii="Times New Roman" w:hAnsi="Times New Roman" w:hint="default"/>
                <w:i w:val="1"/>
                <w:iCs w:val="1"/>
                <w:rtl w:val="0"/>
              </w:rPr>
              <w:t xml:space="preserve">’ </w:t>
            </w:r>
            <w:r>
              <w:rPr>
                <w:rFonts w:ascii="Times New Roman" w:hAnsi="Times New Roman"/>
                <w:i w:val="1"/>
                <w:iCs w:val="1"/>
                <w:rtl w:val="0"/>
              </w:rPr>
              <w:t>Religious Observances and for the Cultural Observances of First Nations, M</w:t>
            </w:r>
            <w:r>
              <w:rPr>
                <w:rFonts w:ascii="Times New Roman" w:hAnsi="Times New Roman" w:hint="default"/>
                <w:i w:val="1"/>
                <w:iCs w:val="1"/>
                <w:rtl w:val="0"/>
              </w:rPr>
              <w:t>é</w:t>
            </w:r>
            <w:r>
              <w:rPr>
                <w:rFonts w:ascii="Times New Roman" w:hAnsi="Times New Roman"/>
                <w:i w:val="1"/>
                <w:iCs w:val="1"/>
                <w:rtl w:val="0"/>
              </w:rPr>
              <w:t>tis, and Inuit Students, as set out in the attached</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N/A</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Approved</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Academic Policy Committee</w:t>
            </w:r>
          </w:p>
        </w:tc>
      </w:tr>
      <w:tr>
        <w:tblPrEx>
          <w:shd w:val="clear" w:color="auto" w:fill="auto"/>
        </w:tblPrEx>
        <w:trPr>
          <w:trHeight w:val="2417"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i w:val="1"/>
                <w:iCs w:val="1"/>
                <w:rtl w:val="0"/>
              </w:rPr>
              <w:t xml:space="preserve">That Senate approve revisions to Policy V-135 </w:t>
            </w:r>
            <w:r>
              <w:rPr>
                <w:rFonts w:ascii="Times New Roman" w:hAnsi="Times New Roman" w:hint="default"/>
                <w:i w:val="1"/>
                <w:iCs w:val="1"/>
                <w:rtl w:val="0"/>
              </w:rPr>
              <w:t>–</w:t>
            </w:r>
            <w:r>
              <w:rPr>
                <w:rFonts w:ascii="Times New Roman" w:hAnsi="Times New Roman"/>
                <w:i w:val="1"/>
                <w:iCs w:val="1"/>
                <w:rtl w:val="0"/>
              </w:rPr>
              <w:t xml:space="preserve">Academic Concession as set out in the attached. </w:t>
            </w:r>
          </w:p>
          <w:p>
            <w:pPr>
              <w:pStyle w:val="Table Style 2"/>
            </w:pPr>
          </w:p>
          <w:p>
            <w:pPr>
              <w:pStyle w:val="Table Style 2"/>
            </w:pPr>
            <w:r>
              <w:rPr>
                <w:rFonts w:ascii="Times New Roman" w:hAnsi="Times New Roman"/>
                <w:i w:val="1"/>
                <w:iCs w:val="1"/>
                <w:rtl w:val="0"/>
              </w:rPr>
              <w:t xml:space="preserve">By general consent, the proposal was amended to remove </w:t>
            </w:r>
            <w:r>
              <w:rPr>
                <w:rFonts w:ascii="Times New Roman" w:hAnsi="Times New Roman" w:hint="default"/>
                <w:i w:val="1"/>
                <w:iCs w:val="1"/>
                <w:rtl w:val="0"/>
              </w:rPr>
              <w:t>“</w:t>
            </w:r>
            <w:r>
              <w:rPr>
                <w:rFonts w:ascii="Times New Roman" w:hAnsi="Times New Roman"/>
                <w:i w:val="1"/>
                <w:iCs w:val="1"/>
                <w:rtl w:val="0"/>
              </w:rPr>
              <w:t>and harassment</w:t>
            </w:r>
            <w:r>
              <w:rPr>
                <w:rFonts w:ascii="Times New Roman" w:hAnsi="Times New Roman" w:hint="default"/>
                <w:i w:val="1"/>
                <w:iCs w:val="1"/>
                <w:rtl w:val="0"/>
              </w:rPr>
              <w:t xml:space="preserve">” </w:t>
            </w:r>
            <w:r>
              <w:rPr>
                <w:rFonts w:ascii="Times New Roman" w:hAnsi="Times New Roman"/>
                <w:i w:val="1"/>
                <w:iCs w:val="1"/>
                <w:rtl w:val="0"/>
              </w:rPr>
              <w:t xml:space="preserve">from board policy title and correct the </w:t>
            </w:r>
            <w:r>
              <w:rPr>
                <w:rFonts w:ascii="Times New Roman" w:hAnsi="Times New Roman" w:hint="default"/>
                <w:i w:val="1"/>
                <w:iCs w:val="1"/>
                <w:rtl w:val="0"/>
              </w:rPr>
              <w:t>“</w:t>
            </w:r>
            <w:r>
              <w:rPr>
                <w:rFonts w:ascii="Times New Roman" w:hAnsi="Times New Roman"/>
                <w:i w:val="1"/>
                <w:iCs w:val="1"/>
                <w:rtl w:val="0"/>
              </w:rPr>
              <w:t>or</w:t>
            </w:r>
            <w:r>
              <w:rPr>
                <w:rFonts w:ascii="Times New Roman" w:hAnsi="Times New Roman" w:hint="default"/>
                <w:i w:val="1"/>
                <w:iCs w:val="1"/>
                <w:rtl w:val="0"/>
              </w:rPr>
              <w:t xml:space="preserve">’ </w:t>
            </w:r>
            <w:r>
              <w:rPr>
                <w:rFonts w:ascii="Times New Roman" w:hAnsi="Times New Roman"/>
                <w:i w:val="1"/>
                <w:iCs w:val="1"/>
                <w:rtl w:val="0"/>
              </w:rPr>
              <w:t xml:space="preserve">on page 37.  </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N/A</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Approved as Amended</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Academic Policy Committee</w:t>
            </w:r>
          </w:p>
        </w:tc>
      </w:tr>
      <w:tr>
        <w:tblPrEx>
          <w:shd w:val="clear" w:color="auto" w:fill="auto"/>
        </w:tblPrEx>
        <w:trPr>
          <w:trHeight w:val="1537"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i w:val="1"/>
                <w:iCs w:val="1"/>
                <w:rtl w:val="0"/>
              </w:rPr>
              <w:t>[March Awards]</w:t>
            </w:r>
          </w:p>
          <w:p>
            <w:pPr>
              <w:pStyle w:val="Table Style 2"/>
            </w:pPr>
            <w:r>
              <w:rPr>
                <w:rFonts w:ascii="Times New Roman" w:hAnsi="Times New Roman"/>
                <w:i w:val="1"/>
                <w:iCs w:val="1"/>
                <w:rtl w:val="0"/>
              </w:rPr>
              <w:t>That Senate accept the awards as listed and forward them to the Board of Governors for approval, and that letters of thanks be sent to the donors</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N/A</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Approved</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Awards Committee</w:t>
            </w:r>
          </w:p>
        </w:tc>
      </w:tr>
      <w:tr>
        <w:tblPrEx>
          <w:shd w:val="clear" w:color="auto" w:fill="auto"/>
        </w:tblPrEx>
        <w:trPr>
          <w:trHeight w:val="1537"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i w:val="1"/>
                <w:iCs w:val="1"/>
                <w:rtl w:val="0"/>
              </w:rPr>
              <w:t>[April Awards]</w:t>
            </w:r>
          </w:p>
          <w:p>
            <w:pPr>
              <w:pStyle w:val="Table Style 2"/>
            </w:pPr>
            <w:r>
              <w:rPr>
                <w:rFonts w:ascii="Times New Roman" w:hAnsi="Times New Roman"/>
                <w:i w:val="1"/>
                <w:iCs w:val="1"/>
                <w:rtl w:val="0"/>
              </w:rPr>
              <w:t>That Senate accept the awards as listed and forward them to the Board of Governors for approval, and that letters of thanks be sent to the donors</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N/A</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Approved</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Awards Committee</w:t>
            </w:r>
          </w:p>
        </w:tc>
      </w:tr>
      <w:tr>
        <w:tblPrEx>
          <w:shd w:val="clear" w:color="auto" w:fill="auto"/>
        </w:tblPrEx>
        <w:trPr>
          <w:trHeight w:val="2857"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i w:val="1"/>
                <w:iCs w:val="1"/>
                <w:rtl w:val="0"/>
              </w:rPr>
              <w:t>[March Curriculum]</w:t>
            </w:r>
          </w:p>
          <w:p>
            <w:pPr>
              <w:pStyle w:val="Table Style 2"/>
            </w:pPr>
            <w:r>
              <w:rPr>
                <w:rFonts w:ascii="Times New Roman" w:hAnsi="Times New Roman"/>
                <w:i w:val="1"/>
                <w:iCs w:val="1"/>
                <w:rtl w:val="0"/>
              </w:rPr>
              <w:t>That the new courses, revision of degree requirements, and revision of parchment, be brought forward by the faculties of Arts, Commerce and Business Administration, Graduate and Postdoctoral Studies (Applied Science), Land and Food Systems, and Allard Law be approved</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N/A</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Approved</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Curriculum Committee</w:t>
            </w:r>
          </w:p>
        </w:tc>
      </w:tr>
      <w:tr>
        <w:tblPrEx>
          <w:shd w:val="clear" w:color="auto" w:fill="auto"/>
        </w:tblPrEx>
        <w:trPr>
          <w:trHeight w:val="2637"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i w:val="1"/>
                <w:iCs w:val="1"/>
                <w:rtl w:val="0"/>
              </w:rPr>
              <w:t>[April Curriculum]</w:t>
            </w:r>
          </w:p>
          <w:p>
            <w:pPr>
              <w:pStyle w:val="Table Style 2"/>
            </w:pPr>
            <w:r>
              <w:rPr>
                <w:rFonts w:ascii="Times New Roman" w:hAnsi="Times New Roman"/>
                <w:i w:val="1"/>
                <w:iCs w:val="1"/>
                <w:rtl w:val="0"/>
              </w:rPr>
              <w:t>That the new courses, new course codes,revision of degree requirements, new minor, revised courses, revised course code, and revised programs brought forward by the faculties of Arts, Allard Law, Graduate and Postdoctoral Studies, and Science be approved</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N/A</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Approved</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Curriculum Committee</w:t>
            </w:r>
          </w:p>
        </w:tc>
      </w:tr>
      <w:tr>
        <w:tblPrEx>
          <w:shd w:val="clear" w:color="auto" w:fill="auto"/>
        </w:tblPrEx>
        <w:trPr>
          <w:trHeight w:val="1977"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i w:val="1"/>
                <w:iCs w:val="1"/>
                <w:rtl w:val="0"/>
              </w:rPr>
              <w:t>That Senate approve and recommend to the Board of Governors the establishment of the BioProducts Institute within the faculties of Applied Science, Forestry, Land &amp; Food Systems, and Science.</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N/A</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Approved</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Research and Scholarship Committee</w:t>
            </w:r>
          </w:p>
        </w:tc>
      </w:tr>
      <w:tr>
        <w:tblPrEx>
          <w:shd w:val="clear" w:color="auto" w:fill="auto"/>
        </w:tblPrEx>
        <w:trPr>
          <w:trHeight w:val="1097"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i w:val="1"/>
                <w:iCs w:val="1"/>
                <w:rtl w:val="0"/>
              </w:rPr>
              <w:t>That Senate designate the Bio Products Institute as a Global Research Excellence Institute, effective May 1, 2020.</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N/A</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Approved</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Report from Provost</w:t>
            </w:r>
          </w:p>
        </w:tc>
      </w:tr>
    </w:tbl>
    <w:p>
      <w:pPr>
        <w:pStyle w:val="Body"/>
        <w:bidi w:val="0"/>
      </w:pP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