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rPr>
      </w:pPr>
      <w:r>
        <w:rPr>
          <w:rFonts w:ascii="Times New Roman" w:hAnsi="Times New Roman"/>
          <w:rtl w:val="0"/>
          <w:lang w:val="en-US"/>
        </w:rPr>
        <w:t>20 NOVEMBER 2019 MEETING OF THE VANCOUVER SENATE</w:t>
      </w: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38"/>
        <w:gridCol w:w="2339"/>
        <w:gridCol w:w="2339"/>
        <w:gridCol w:w="2339"/>
      </w:tblGrid>
      <w:tr>
        <w:tblPrEx>
          <w:shd w:val="clear" w:color="auto" w:fill="auto"/>
        </w:tblPrEx>
        <w:trPr>
          <w:trHeight w:val="131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MOTION</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VOTE</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STATUS</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COMMITTEE THAT RECOMMENDED THE MOTION//SUBSECTION OF DOCKET WHERE MOTION CAN BE FOUND</w:t>
            </w:r>
          </w:p>
        </w:tc>
      </w:tr>
      <w:tr>
        <w:tblPrEx>
          <w:shd w:val="clear" w:color="auto" w:fill="auto"/>
        </w:tblPrEx>
        <w:trPr>
          <w:trHeight w:val="219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i w:val="1"/>
                <w:iCs w:val="1"/>
                <w:rtl w:val="0"/>
              </w:rPr>
              <w:t>That the Minutes of the Meeting of 16 October2018 be adopted as corrected:</w:t>
            </w:r>
          </w:p>
          <w:p>
            <w:pPr>
              <w:pStyle w:val="Table Style 2"/>
            </w:pPr>
          </w:p>
          <w:p>
            <w:pPr>
              <w:pStyle w:val="Table Style 2"/>
            </w:pPr>
            <w:r>
              <w:rPr>
                <w:rFonts w:ascii="Times New Roman" w:hAnsi="Times New Roman"/>
                <w:i w:val="1"/>
                <w:iCs w:val="1"/>
                <w:rtl w:val="0"/>
              </w:rPr>
              <w:t xml:space="preserve">Corrections: Senators Haffey, Dauvergne, Ty,Kelleher, Tsiakos, and Rygnestad-Stahl were present. </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Minutes of 16 October 2019</w:t>
            </w:r>
          </w:p>
        </w:tc>
      </w:tr>
      <w:tr>
        <w:tblPrEx>
          <w:shd w:val="clear" w:color="auto" w:fill="auto"/>
        </w:tblPrEx>
        <w:trPr>
          <w:trHeight w:val="351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i w:val="1"/>
                <w:iCs w:val="1"/>
                <w:rtl w:val="0"/>
              </w:rPr>
              <w:t>That the candidates for degrees and diplomas as recommended by the faculties be granted the degree or diplomas for which they were recommended, effective November2019 or as otherwise specified, and that a committee comprised of the Registrar, the dean of the relevant faculty, and the Chair of the Senate be empowered to make any necessary adjustments.</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Candidates for Degrees</w:t>
            </w:r>
          </w:p>
        </w:tc>
      </w:tr>
      <w:tr>
        <w:tblPrEx>
          <w:shd w:val="clear" w:color="auto" w:fill="auto"/>
        </w:tblPrEx>
        <w:trPr>
          <w:trHeight w:val="219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i w:val="1"/>
                <w:iCs w:val="1"/>
                <w:rtl w:val="0"/>
              </w:rPr>
              <w:t xml:space="preserve">That Senate designate the ranks of </w:t>
            </w:r>
            <w:r>
              <w:rPr>
                <w:rFonts w:ascii="Times New Roman" w:hAnsi="Times New Roman" w:hint="default"/>
                <w:i w:val="1"/>
                <w:iCs w:val="1"/>
                <w:rtl w:val="0"/>
              </w:rPr>
              <w:t>‘</w:t>
            </w:r>
            <w:r>
              <w:rPr>
                <w:rFonts w:ascii="Times New Roman" w:hAnsi="Times New Roman"/>
                <w:i w:val="1"/>
                <w:iCs w:val="1"/>
                <w:rtl w:val="0"/>
              </w:rPr>
              <w:t>Associate Professor of Teaching</w:t>
            </w:r>
            <w:r>
              <w:rPr>
                <w:rFonts w:ascii="Times New Roman" w:hAnsi="Times New Roman" w:hint="default"/>
                <w:i w:val="1"/>
                <w:iCs w:val="1"/>
                <w:rtl w:val="0"/>
              </w:rPr>
              <w:t xml:space="preserve">’ </w:t>
            </w:r>
            <w:r>
              <w:rPr>
                <w:rFonts w:ascii="Times New Roman" w:hAnsi="Times New Roman"/>
                <w:i w:val="1"/>
                <w:iCs w:val="1"/>
                <w:rtl w:val="0"/>
              </w:rPr>
              <w:t xml:space="preserve">and </w:t>
            </w:r>
            <w:r>
              <w:rPr>
                <w:rFonts w:ascii="Times New Roman" w:hAnsi="Times New Roman" w:hint="default"/>
                <w:i w:val="1"/>
                <w:iCs w:val="1"/>
                <w:rtl w:val="0"/>
              </w:rPr>
              <w:t>‘</w:t>
            </w:r>
            <w:r>
              <w:rPr>
                <w:rFonts w:ascii="Times New Roman" w:hAnsi="Times New Roman"/>
                <w:i w:val="1"/>
                <w:iCs w:val="1"/>
                <w:rtl w:val="0"/>
              </w:rPr>
              <w:t>Assistant Professor of Teaching</w:t>
            </w:r>
            <w:r>
              <w:rPr>
                <w:rFonts w:ascii="Times New Roman" w:hAnsi="Times New Roman" w:hint="default"/>
                <w:i w:val="1"/>
                <w:iCs w:val="1"/>
                <w:rtl w:val="0"/>
              </w:rPr>
              <w:t xml:space="preserve">’  </w:t>
            </w:r>
            <w:r>
              <w:rPr>
                <w:rFonts w:ascii="Times New Roman" w:hAnsi="Times New Roman"/>
                <w:i w:val="1"/>
                <w:iCs w:val="1"/>
                <w:rtl w:val="0"/>
              </w:rPr>
              <w:t xml:space="preserve">as equivalent to those ranks set out in the definition of </w:t>
            </w:r>
            <w:r>
              <w:rPr>
                <w:rFonts w:ascii="Times New Roman" w:hAnsi="Times New Roman" w:hint="default"/>
                <w:i w:val="1"/>
                <w:iCs w:val="1"/>
                <w:rtl w:val="0"/>
              </w:rPr>
              <w:t>‘</w:t>
            </w:r>
            <w:r>
              <w:rPr>
                <w:rFonts w:ascii="Times New Roman" w:hAnsi="Times New Roman"/>
                <w:i w:val="1"/>
                <w:iCs w:val="1"/>
                <w:rtl w:val="0"/>
              </w:rPr>
              <w:t>Faculty Member</w:t>
            </w:r>
            <w:r>
              <w:rPr>
                <w:rFonts w:ascii="Times New Roman" w:hAnsi="Times New Roman" w:hint="default"/>
                <w:i w:val="1"/>
                <w:iCs w:val="1"/>
                <w:rtl w:val="0"/>
              </w:rPr>
              <w:t xml:space="preserve">’ </w:t>
            </w:r>
            <w:r>
              <w:rPr>
                <w:rFonts w:ascii="Times New Roman" w:hAnsi="Times New Roman"/>
                <w:i w:val="1"/>
                <w:iCs w:val="1"/>
                <w:rtl w:val="0"/>
              </w:rPr>
              <w:t>found in the University Act, effective July 2020.</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Academic Policy Committee</w:t>
            </w:r>
          </w:p>
        </w:tc>
      </w:tr>
      <w:tr>
        <w:tblPrEx>
          <w:shd w:val="clear" w:color="auto" w:fill="auto"/>
        </w:tblPrEx>
        <w:trPr>
          <w:trHeight w:val="637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Times New Roman" w:cs="Times New Roman" w:hAnsi="Times New Roman" w:eastAsia="Times New Roman"/>
                <w:i w:val="1"/>
                <w:iCs w:val="1"/>
              </w:rPr>
            </w:pPr>
            <w:r>
              <w:rPr>
                <w:rFonts w:ascii="Times New Roman" w:hAnsi="Times New Roman"/>
                <w:i w:val="1"/>
                <w:iCs w:val="1"/>
                <w:rtl w:val="0"/>
                <w:lang w:val="en-US"/>
              </w:rPr>
              <w:t xml:space="preserve">That Senate approve the amendments to the   Strike Policy (Labour Disruption Policy) and guidelines as proposed; and </w:t>
            </w:r>
          </w:p>
          <w:p>
            <w:pPr>
              <w:pStyle w:val="Table Style 2"/>
              <w:rPr>
                <w:rFonts w:ascii="Times New Roman" w:cs="Times New Roman" w:hAnsi="Times New Roman" w:eastAsia="Times New Roman"/>
                <w:i w:val="1"/>
                <w:iCs w:val="1"/>
              </w:rPr>
            </w:pPr>
          </w:p>
          <w:p>
            <w:pPr>
              <w:pStyle w:val="Table Style 2"/>
              <w:rPr>
                <w:rFonts w:ascii="Times New Roman" w:cs="Times New Roman" w:hAnsi="Times New Roman" w:eastAsia="Times New Roman"/>
                <w:i w:val="1"/>
                <w:iCs w:val="1"/>
              </w:rPr>
            </w:pPr>
            <w:r>
              <w:rPr>
                <w:rFonts w:ascii="Times New Roman" w:hAnsi="Times New Roman"/>
                <w:i w:val="1"/>
                <w:iCs w:val="1"/>
                <w:rtl w:val="0"/>
                <w:lang w:val="en-US"/>
              </w:rPr>
              <w:t>That Senate direct that the Academic Policy Committee review the Labour Disruption Policy and Guidelines and report back to Senate within three (3) months of the conclusion of the current labour dispute affecting public transportation services in greater Vancouver with any recommendations for revisions.</w:t>
            </w:r>
          </w:p>
          <w:p>
            <w:pPr>
              <w:pStyle w:val="Table Style 2"/>
              <w:rPr>
                <w:rFonts w:ascii="Times New Roman" w:cs="Times New Roman" w:hAnsi="Times New Roman" w:eastAsia="Times New Roman"/>
                <w:i w:val="1"/>
                <w:iCs w:val="1"/>
              </w:rPr>
            </w:pPr>
          </w:p>
          <w:p>
            <w:pPr>
              <w:pStyle w:val="Table Style 2"/>
              <w:rPr>
                <w:rFonts w:ascii="Times New Roman" w:cs="Times New Roman" w:hAnsi="Times New Roman" w:eastAsia="Times New Roman"/>
                <w:i w:val="1"/>
                <w:iCs w:val="1"/>
              </w:rPr>
            </w:pPr>
            <w:r>
              <w:rPr>
                <w:rFonts w:ascii="Times New Roman" w:hAnsi="Times New Roman"/>
                <w:i w:val="1"/>
                <w:iCs w:val="1"/>
                <w:rtl w:val="0"/>
                <w:lang w:val="en-US"/>
              </w:rPr>
              <w:t xml:space="preserve">NB: Requires 2/3rds approval due to delegation therein. </w:t>
            </w:r>
          </w:p>
          <w:p>
            <w:pPr>
              <w:pStyle w:val="Table Style 2"/>
              <w:rPr>
                <w:rFonts w:ascii="Times New Roman" w:cs="Times New Roman" w:hAnsi="Times New Roman" w:eastAsia="Times New Roman"/>
                <w:i w:val="1"/>
                <w:iCs w:val="1"/>
              </w:rPr>
            </w:pPr>
          </w:p>
          <w:p>
            <w:pPr>
              <w:pStyle w:val="Table Style 2"/>
            </w:pPr>
            <w:r>
              <w:rPr>
                <w:rFonts w:ascii="Times New Roman" w:hAnsi="Times New Roman"/>
                <w:rtl w:val="0"/>
                <w:lang w:val="en-US"/>
              </w:rPr>
              <w:t>[Details about the Strike Policy and revisions can be found on docket pages 19-27]</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Academic Policy Committee</w:t>
            </w:r>
          </w:p>
        </w:tc>
      </w:tr>
      <w:tr>
        <w:tblPrEx>
          <w:shd w:val="clear" w:color="auto" w:fill="auto"/>
        </w:tblPrEx>
        <w:trPr>
          <w:trHeight w:val="131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i w:val="1"/>
                <w:iCs w:val="1"/>
                <w:rtl w:val="0"/>
              </w:rPr>
              <w:t>That Senate accept the awards as listed and forward them to the Board of Governors for approval, and that letters of thanks be sent to the donors.</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Awards Committee</w:t>
            </w:r>
          </w:p>
        </w:tc>
      </w:tr>
      <w:tr>
        <w:tblPrEx>
          <w:shd w:val="clear" w:color="auto" w:fill="auto"/>
        </w:tblPrEx>
        <w:trPr>
          <w:trHeight w:val="175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i w:val="1"/>
                <w:iCs w:val="1"/>
                <w:rtl w:val="0"/>
              </w:rPr>
              <w:t>That Senate approve changes to admission requirements for applicants to the Master of Occupational Therapy program, effective for entry to the 2020 Winter Session and thereafter.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Admissions Committee</w:t>
            </w:r>
          </w:p>
        </w:tc>
      </w:tr>
      <w:tr>
        <w:tblPrEx>
          <w:shd w:val="clear" w:color="auto" w:fill="auto"/>
        </w:tblPrEx>
        <w:trPr>
          <w:trHeight w:val="175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i w:val="1"/>
                <w:iCs w:val="1"/>
                <w:rtl w:val="0"/>
              </w:rPr>
              <w:t>That Senate approve changes to admission requirements for applicants to the Master of Physical Therapy program, effective for entry to the 2020 Winter Session and thereafter.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Admissions Committee</w:t>
            </w:r>
          </w:p>
        </w:tc>
      </w:tr>
      <w:tr>
        <w:tblPrEx>
          <w:shd w:val="clear" w:color="auto" w:fill="auto"/>
        </w:tblPrEx>
        <w:trPr>
          <w:trHeight w:val="197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i w:val="1"/>
                <w:iCs w:val="1"/>
                <w:rtl w:val="0"/>
              </w:rPr>
              <w:t>That the new honours emphasis, new minor, new course code, new courses and deletion of programs be brought forward by the faculties of Arts and Graduate and Postdoctoral Studies (Medicine) be 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Curriculum Committee</w:t>
            </w:r>
          </w:p>
        </w:tc>
      </w:tr>
      <w:tr>
        <w:tblPrEx>
          <w:shd w:val="clear" w:color="auto" w:fill="auto"/>
        </w:tblPrEx>
        <w:trPr>
          <w:trHeight w:val="65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i w:val="1"/>
                <w:iCs w:val="1"/>
                <w:rtl w:val="0"/>
              </w:rPr>
              <w:t>That the revised Master of Management degree program be 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Curriculum Committee &amp; Admissions Committee</w:t>
            </w:r>
          </w:p>
        </w:tc>
      </w:tr>
      <w:tr>
        <w:tblPrEx>
          <w:shd w:val="clear" w:color="auto" w:fill="auto"/>
        </w:tblPrEx>
        <w:trPr>
          <w:trHeight w:val="263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i w:val="1"/>
                <w:iCs w:val="1"/>
                <w:rtl w:val="0"/>
              </w:rPr>
              <w:t xml:space="preserve">That Senate concur with the Board of Governors in approving amendments to the Registrar/Librarians Appointment Policy (AP11), the Academic Administrators Appointment Policy (AP12), and the Disability Accommodation Policy (LR7) as set out in the attached proposals. </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Nominating Committee</w:t>
            </w:r>
          </w:p>
        </w:tc>
      </w:tr>
      <w:tr>
        <w:tblPrEx>
          <w:shd w:val="clear" w:color="auto" w:fill="auto"/>
        </w:tblPrEx>
        <w:trPr>
          <w:trHeight w:val="1055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i w:val="1"/>
                <w:iCs w:val="1"/>
                <w:rtl w:val="0"/>
              </w:rPr>
              <w:t xml:space="preserve">That the name of the Senate Research Committee be changed to be the Senate Research and Scholarship Committee; and </w:t>
            </w:r>
          </w:p>
          <w:p>
            <w:pPr>
              <w:pStyle w:val="Table Style 2"/>
            </w:pPr>
          </w:p>
          <w:p>
            <w:pPr>
              <w:pStyle w:val="Table Style 2"/>
            </w:pPr>
            <w:r>
              <w:rPr>
                <w:rFonts w:ascii="Times New Roman" w:hAnsi="Times New Roman"/>
                <w:i w:val="1"/>
                <w:iCs w:val="1"/>
                <w:rtl w:val="0"/>
              </w:rPr>
              <w:t xml:space="preserve">That its terms of reference be amended as follows (new text in bold): </w:t>
            </w:r>
          </w:p>
          <w:p>
            <w:pPr>
              <w:pStyle w:val="Table Style 2"/>
            </w:pPr>
          </w:p>
          <w:p>
            <w:pPr>
              <w:pStyle w:val="Table Style 2"/>
            </w:pPr>
            <w:r>
              <w:rPr>
                <w:rFonts w:ascii="Times New Roman" w:hAnsi="Times New Roman"/>
                <w:i w:val="1"/>
                <w:iCs w:val="1"/>
                <w:rtl w:val="0"/>
              </w:rPr>
              <w:t>To consider, and to provide advice and recommendations to the Senate, on key academic matters related to research and scholarship at the University, including but not limited to:</w:t>
            </w:r>
          </w:p>
          <w:p>
            <w:pPr>
              <w:pStyle w:val="Table Style 2"/>
            </w:pPr>
          </w:p>
          <w:p>
            <w:pPr>
              <w:pStyle w:val="Table Style 2"/>
            </w:pPr>
            <w:r>
              <w:rPr>
                <w:rFonts w:ascii="Times New Roman" w:hAnsi="Times New Roman" w:hint="default"/>
                <w:i w:val="1"/>
                <w:iCs w:val="1"/>
                <w:rtl w:val="0"/>
              </w:rPr>
              <w:t>•</w:t>
            </w:r>
            <w:r>
              <w:rPr>
                <w:rFonts w:ascii="Times New Roman" w:hAnsi="Times New Roman"/>
                <w:i w:val="1"/>
                <w:iCs w:val="1"/>
                <w:rtl w:val="0"/>
              </w:rPr>
              <w:t>Institutional policies and procedures related to research and scholarship;</w:t>
            </w:r>
          </w:p>
          <w:p>
            <w:pPr>
              <w:pStyle w:val="Table Style 2"/>
            </w:pPr>
            <w:r>
              <w:rPr>
                <w:rFonts w:ascii="Times New Roman" w:hAnsi="Times New Roman" w:hint="default"/>
                <w:i w:val="1"/>
                <w:iCs w:val="1"/>
                <w:rtl w:val="0"/>
              </w:rPr>
              <w:t>•</w:t>
            </w:r>
            <w:r>
              <w:rPr>
                <w:rFonts w:ascii="Times New Roman" w:hAnsi="Times New Roman"/>
                <w:i w:val="1"/>
                <w:iCs w:val="1"/>
                <w:rtl w:val="0"/>
              </w:rPr>
              <w:t>Centres, institutes and other academic or administrative units with research or scholarship-focused mandates; and</w:t>
            </w:r>
          </w:p>
          <w:p>
            <w:pPr>
              <w:pStyle w:val="Table Style 2"/>
            </w:pPr>
            <w:r>
              <w:rPr>
                <w:rFonts w:ascii="Times New Roman" w:hAnsi="Times New Roman" w:hint="default"/>
                <w:i w:val="1"/>
                <w:iCs w:val="1"/>
                <w:rtl w:val="0"/>
              </w:rPr>
              <w:t>•</w:t>
            </w:r>
            <w:r>
              <w:rPr>
                <w:rFonts w:ascii="Times New Roman" w:hAnsi="Times New Roman"/>
                <w:i w:val="1"/>
                <w:iCs w:val="1"/>
                <w:rtl w:val="0"/>
              </w:rPr>
              <w:t>Research and scholarship aspects of university-level strategic planning</w:t>
            </w:r>
          </w:p>
          <w:p>
            <w:pPr>
              <w:pStyle w:val="Table Style 2"/>
            </w:pPr>
            <w:r>
              <w:rPr>
                <w:rFonts w:ascii="Times New Roman" w:hAnsi="Times New Roman" w:hint="default"/>
                <w:i w:val="1"/>
                <w:iCs w:val="1"/>
                <w:rtl w:val="0"/>
              </w:rPr>
              <w:t>•</w:t>
            </w:r>
            <w:r>
              <w:rPr>
                <w:rFonts w:ascii="Times New Roman" w:hAnsi="Times New Roman"/>
                <w:i w:val="1"/>
                <w:iCs w:val="1"/>
                <w:rtl w:val="0"/>
              </w:rPr>
              <w:t>The research and scholarship environment, infrastructure, funding and other issues which, in the opinion of the Committee, have an impact on research at the University.</w:t>
            </w:r>
          </w:p>
          <w:p>
            <w:pPr>
              <w:pStyle w:val="Table Style 2"/>
            </w:pPr>
            <w:r>
              <w:rPr>
                <w:rFonts w:ascii="Times New Roman" w:hAnsi="Times New Roman" w:hint="default"/>
                <w:i w:val="1"/>
                <w:iCs w:val="1"/>
                <w:rtl w:val="0"/>
              </w:rPr>
              <w:t>•</w:t>
            </w:r>
            <w:r>
              <w:rPr>
                <w:rFonts w:ascii="Times New Roman" w:hAnsi="Times New Roman"/>
                <w:i w:val="1"/>
                <w:iCs w:val="1"/>
                <w:rtl w:val="0"/>
              </w:rPr>
              <w:t xml:space="preserve">To consider an annual report on research at the University from theVice   -President Research and Innovation prior to its presentation toSenate. </w:t>
            </w:r>
          </w:p>
          <w:p>
            <w:pPr>
              <w:pStyle w:val="Table Style 2"/>
            </w:pPr>
            <w:r>
              <w:rPr>
                <w:rFonts w:ascii="Times New Roman" w:hAnsi="Times New Roman" w:hint="default"/>
                <w:i w:val="1"/>
                <w:iCs w:val="1"/>
                <w:rtl w:val="0"/>
              </w:rPr>
              <w:t>•</w:t>
            </w:r>
            <w:r>
              <w:rPr>
                <w:rFonts w:ascii="Times New Roman" w:hAnsi="Times New Roman"/>
                <w:i w:val="1"/>
                <w:iCs w:val="1"/>
                <w:rtl w:val="0"/>
              </w:rPr>
              <w:t>To meet or consult with other Senate committees as required on matters of mutual interest.</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Nominating Committee</w:t>
            </w:r>
          </w:p>
        </w:tc>
      </w:tr>
      <w:tr>
        <w:tblPrEx>
          <w:shd w:val="clear" w:color="auto" w:fill="auto"/>
        </w:tblPrEx>
        <w:trPr>
          <w:trHeight w:val="131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i w:val="1"/>
                <w:iCs w:val="1"/>
                <w:rtl w:val="0"/>
              </w:rPr>
              <w:t>That Ms Kristen Pike be appointed to the Senate Ad Hoc Committee on Academic Diversity and Inclusion to replace Ms Debra Martell.</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 xml:space="preserve">For </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Nominating Committee</w:t>
            </w:r>
          </w:p>
        </w:tc>
      </w:tr>
      <w:tr>
        <w:tblPrEx>
          <w:shd w:val="clear" w:color="auto" w:fill="auto"/>
        </w:tblPrEx>
        <w:trPr>
          <w:trHeight w:val="307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i w:val="1"/>
                <w:iCs w:val="1"/>
                <w:rtl w:val="0"/>
              </w:rPr>
              <w:t xml:space="preserve">That academic responsibility for UBC health, and in particular coordination of joint interprofessional and interdisciplinary learning, research, and community related activities in health and human service disciplines, be transferred from the Office of the Vice-President Academic and Provost to the Office of the Vice-President, Health. </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Reports from the President:</w:t>
            </w:r>
          </w:p>
          <w:p>
            <w:pPr>
              <w:pStyle w:val="Table Style 2"/>
            </w:pPr>
            <w:r>
              <w:rPr>
                <w:rFonts w:ascii="Times New Roman" w:hAnsi="Times New Roman"/>
                <w:rtl w:val="0"/>
              </w:rPr>
              <w:t>Confirmation of responsible executive for UBC health</w:t>
            </w:r>
          </w:p>
        </w:tc>
      </w:tr>
    </w:tbl>
    <w:p>
      <w:pPr>
        <w:pStyle w:val="Body"/>
        <w:bidi w:val="0"/>
      </w:pP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